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3D" w:rsidRDefault="0088093D" w:rsidP="004E74EC">
      <w:pPr>
        <w:ind w:left="-284" w:right="-142"/>
      </w:pPr>
    </w:p>
    <w:p w:rsidR="004E74EC" w:rsidRDefault="004E74EC" w:rsidP="004E74EC">
      <w:pPr>
        <w:ind w:left="-284" w:right="-142"/>
      </w:pPr>
    </w:p>
    <w:p w:rsidR="004E74EC" w:rsidRDefault="004E74EC" w:rsidP="001F36FE">
      <w:pPr>
        <w:spacing w:after="360"/>
        <w:ind w:right="-142"/>
      </w:pPr>
    </w:p>
    <w:p w:rsidR="00F95F29" w:rsidRDefault="00F95F29" w:rsidP="001F36FE">
      <w:pPr>
        <w:spacing w:after="360"/>
        <w:ind w:right="-142"/>
      </w:pPr>
    </w:p>
    <w:p w:rsidR="00C41E78" w:rsidRDefault="004E74EC" w:rsidP="00CE2B6D">
      <w:pPr>
        <w:spacing w:after="0" w:line="276" w:lineRule="auto"/>
        <w:jc w:val="both"/>
        <w:rPr>
          <w:i/>
          <w:color w:val="000000" w:themeColor="text1"/>
        </w:rPr>
      </w:pPr>
      <w:r w:rsidRPr="00C8706D">
        <w:rPr>
          <w:i/>
          <w:color w:val="000000" w:themeColor="text1"/>
        </w:rPr>
        <w:t xml:space="preserve">Welche gesetzlichen Änderungen gibt es in diesem Jahr? Wir haben ein paar der wichtigsten Punkte zusammengefasst: </w:t>
      </w:r>
    </w:p>
    <w:p w:rsidR="001F36FE" w:rsidRPr="001F36FE" w:rsidRDefault="001F36FE" w:rsidP="001F36FE">
      <w:pPr>
        <w:spacing w:after="0" w:line="276" w:lineRule="auto"/>
        <w:jc w:val="both"/>
        <w:rPr>
          <w:i/>
          <w:color w:val="000000" w:themeColor="text1"/>
        </w:rPr>
      </w:pPr>
    </w:p>
    <w:p w:rsidR="004E74EC" w:rsidRPr="00F95F29" w:rsidRDefault="00F95F29" w:rsidP="007437BE">
      <w:pPr>
        <w:pStyle w:val="Listenabsatz"/>
        <w:numPr>
          <w:ilvl w:val="0"/>
          <w:numId w:val="1"/>
        </w:numPr>
        <w:spacing w:after="100" w:afterAutospacing="1" w:line="276" w:lineRule="auto"/>
        <w:ind w:left="587"/>
        <w:jc w:val="both"/>
        <w:rPr>
          <w:b/>
          <w:color w:val="484848"/>
          <w:sz w:val="28"/>
          <w:szCs w:val="26"/>
        </w:rPr>
      </w:pPr>
      <w:bookmarkStart w:id="0" w:name="_GoBack"/>
      <w:r>
        <w:rPr>
          <w:b/>
          <w:noProof/>
          <w:color w:val="484848"/>
          <w:sz w:val="28"/>
          <w:szCs w:val="2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312420</wp:posOffset>
                </wp:positionV>
                <wp:extent cx="57531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A7D0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D9006"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6pt" to="452.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" strokecolor="#a7d0c5" strokeweight=".5pt">
                <v:stroke joinstyle="miter"/>
              </v:line>
            </w:pict>
          </mc:Fallback>
        </mc:AlternateContent>
      </w:r>
      <w:r w:rsidR="004E74EC" w:rsidRPr="00F95F29">
        <w:rPr>
          <w:b/>
          <w:color w:val="484848"/>
          <w:sz w:val="28"/>
          <w:szCs w:val="26"/>
        </w:rPr>
        <w:t>Reform des Mutterschutzgesetzes</w:t>
      </w:r>
    </w:p>
    <w:bookmarkEnd w:id="0"/>
    <w:p w:rsidR="00CE2B6D" w:rsidRDefault="004E74EC" w:rsidP="00CE2B6D">
      <w:pPr>
        <w:spacing w:after="120" w:line="276" w:lineRule="auto"/>
        <w:jc w:val="both"/>
        <w:rPr>
          <w:color w:val="000000" w:themeColor="text1"/>
        </w:rPr>
      </w:pPr>
      <w:r w:rsidRPr="004E74EC">
        <w:rPr>
          <w:color w:val="000000" w:themeColor="text1"/>
        </w:rPr>
        <w:t xml:space="preserve">Zukünftig können auch Schülerinnen und Studentinnen den Mutterschutz in Anspruch nehmen. </w:t>
      </w:r>
    </w:p>
    <w:p w:rsidR="004E74EC" w:rsidRDefault="004E74EC" w:rsidP="00CE2B6D">
      <w:pPr>
        <w:spacing w:after="120" w:line="276" w:lineRule="auto"/>
        <w:jc w:val="both"/>
        <w:rPr>
          <w:color w:val="000000" w:themeColor="text1"/>
        </w:rPr>
      </w:pPr>
      <w:r>
        <w:rPr>
          <w:color w:val="000000" w:themeColor="text1"/>
        </w:rPr>
        <w:t xml:space="preserve">Bei Geburt eines Kindes mit Behinderung verlängert sich die Schutzfrist nach </w:t>
      </w:r>
      <w:r w:rsidR="00F95F29">
        <w:rPr>
          <w:color w:val="000000" w:themeColor="text1"/>
        </w:rPr>
        <w:t xml:space="preserve">der </w:t>
      </w:r>
      <w:r>
        <w:rPr>
          <w:color w:val="000000" w:themeColor="text1"/>
        </w:rPr>
        <w:t>Geburt von 8 auf 12 Wochen.</w:t>
      </w:r>
    </w:p>
    <w:p w:rsidR="004E74EC" w:rsidRDefault="004E74EC" w:rsidP="00CE2B6D">
      <w:pPr>
        <w:spacing w:after="120" w:line="276" w:lineRule="auto"/>
        <w:jc w:val="both"/>
        <w:rPr>
          <w:color w:val="000000" w:themeColor="text1"/>
        </w:rPr>
      </w:pPr>
      <w:r>
        <w:rPr>
          <w:color w:val="000000" w:themeColor="text1"/>
        </w:rPr>
        <w:t>Der Arbeitgeber muss jeden Arbeitsplatz hinsichtlich besonderer Schutzbedürfnisse für schwangere und stillende Arbeitnehmerinnen überprüfen. Beschäftigungsverbote aus betrieblichen Gründen soll es nur noch dann geben, wenn alle anderen Maßnahmen versagen.</w:t>
      </w:r>
    </w:p>
    <w:p w:rsidR="00C8706D" w:rsidRDefault="00C8706D" w:rsidP="00CE2B6D">
      <w:pPr>
        <w:spacing w:after="120" w:line="276" w:lineRule="auto"/>
        <w:jc w:val="both"/>
        <w:rPr>
          <w:color w:val="000000" w:themeColor="text1"/>
        </w:rPr>
      </w:pPr>
      <w:r>
        <w:rPr>
          <w:color w:val="000000" w:themeColor="text1"/>
        </w:rPr>
        <w:t xml:space="preserve">Zukünftig dürfen Schwangere und Stillende auch bis 22:00 Uhr beschäftigt werden, wenn die Schwangere ausdrücklich damit einverstanden ist, der Arzt die Arbeitsfähigkeit bescheinigt und die Schwangere nicht allein arbeiten muss. </w:t>
      </w:r>
    </w:p>
    <w:p w:rsidR="00C41E78" w:rsidRDefault="00C8706D" w:rsidP="00CE2B6D">
      <w:pPr>
        <w:spacing w:after="120" w:line="276" w:lineRule="auto"/>
        <w:jc w:val="both"/>
        <w:rPr>
          <w:color w:val="000000" w:themeColor="text1"/>
        </w:rPr>
      </w:pPr>
      <w:r>
        <w:rPr>
          <w:color w:val="000000" w:themeColor="text1"/>
        </w:rPr>
        <w:t xml:space="preserve">Der Kündigungsschutz von 4 Monaten greift auch bei einer nach der 12. Schwangerschaftswoche erlittenen Fehlgeburt. </w:t>
      </w:r>
    </w:p>
    <w:p w:rsidR="001F36FE" w:rsidRPr="001F36FE" w:rsidRDefault="001F36FE" w:rsidP="001F36FE">
      <w:pPr>
        <w:spacing w:after="0" w:line="276" w:lineRule="auto"/>
        <w:jc w:val="both"/>
        <w:rPr>
          <w:color w:val="000000" w:themeColor="text1"/>
        </w:rPr>
      </w:pPr>
    </w:p>
    <w:p w:rsidR="00C8706D" w:rsidRPr="00F95F29" w:rsidRDefault="00F95F29" w:rsidP="00816738">
      <w:pPr>
        <w:pStyle w:val="Listenabsatz"/>
        <w:numPr>
          <w:ilvl w:val="0"/>
          <w:numId w:val="1"/>
        </w:numPr>
        <w:spacing w:after="240" w:line="276" w:lineRule="auto"/>
        <w:ind w:left="587"/>
        <w:jc w:val="both"/>
        <w:rPr>
          <w:b/>
          <w:color w:val="484848"/>
          <w:sz w:val="28"/>
          <w:szCs w:val="26"/>
        </w:rPr>
      </w:pPr>
      <w:r>
        <w:rPr>
          <w:b/>
          <w:noProof/>
          <w:color w:val="484848"/>
          <w:sz w:val="28"/>
          <w:szCs w:val="26"/>
        </w:rPr>
        <mc:AlternateContent>
          <mc:Choice Requires="wps">
            <w:drawing>
              <wp:anchor distT="0" distB="0" distL="114300" distR="114300" simplePos="0" relativeHeight="251661312" behindDoc="0" locked="0" layoutInCell="1" allowOverlap="1" wp14:anchorId="1B47571A" wp14:editId="1AE53C17">
                <wp:simplePos x="0" y="0"/>
                <wp:positionH relativeFrom="column">
                  <wp:posOffset>-4445</wp:posOffset>
                </wp:positionH>
                <wp:positionV relativeFrom="paragraph">
                  <wp:posOffset>304165</wp:posOffset>
                </wp:positionV>
                <wp:extent cx="57531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A7D0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BDEB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95pt" to="452.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" strokecolor="#a7d0c5" strokeweight=".5pt">
                <v:stroke joinstyle="miter"/>
              </v:line>
            </w:pict>
          </mc:Fallback>
        </mc:AlternateContent>
      </w:r>
      <w:r w:rsidR="00C8706D" w:rsidRPr="00F95F29">
        <w:rPr>
          <w:b/>
          <w:color w:val="484848"/>
          <w:sz w:val="28"/>
          <w:szCs w:val="26"/>
        </w:rPr>
        <w:t>Gesetz zur Förderung der Transparenz von Entgeltstrukturen</w:t>
      </w:r>
    </w:p>
    <w:p w:rsidR="00C41E78" w:rsidRDefault="00C8706D" w:rsidP="00F95F29">
      <w:pPr>
        <w:spacing w:after="120" w:line="276" w:lineRule="auto"/>
        <w:jc w:val="both"/>
        <w:rPr>
          <w:color w:val="000000" w:themeColor="text1"/>
        </w:rPr>
      </w:pPr>
      <w:r>
        <w:rPr>
          <w:color w:val="000000" w:themeColor="text1"/>
        </w:rPr>
        <w:t xml:space="preserve">Um Lohnunterschiede zwischen Männern und Frauen zu verringern, erhalten Beschäftigte ab diesem Jahr einen individuellen Auskunftsanspruch. In Betrieben mit mehr als 200 Beschäftigten können Arbeitnehmer künftig Informationen darüber einfordern, wie ihre Kollegen für eine gleichartige Tätigkeit bezahlt werden. </w:t>
      </w:r>
    </w:p>
    <w:p w:rsidR="001F36FE" w:rsidRPr="001F36FE" w:rsidRDefault="001F36FE" w:rsidP="001F36FE">
      <w:pPr>
        <w:spacing w:after="0" w:line="276" w:lineRule="auto"/>
        <w:jc w:val="both"/>
        <w:rPr>
          <w:color w:val="000000" w:themeColor="text1"/>
        </w:rPr>
      </w:pPr>
    </w:p>
    <w:p w:rsidR="00C8706D" w:rsidRPr="00F95F29" w:rsidRDefault="00F95F29" w:rsidP="00816738">
      <w:pPr>
        <w:pStyle w:val="Listenabsatz"/>
        <w:numPr>
          <w:ilvl w:val="0"/>
          <w:numId w:val="1"/>
        </w:numPr>
        <w:spacing w:after="240" w:line="276" w:lineRule="auto"/>
        <w:ind w:left="587"/>
        <w:jc w:val="both"/>
        <w:rPr>
          <w:b/>
          <w:color w:val="484848"/>
          <w:sz w:val="28"/>
          <w:szCs w:val="26"/>
        </w:rPr>
      </w:pPr>
      <w:r>
        <w:rPr>
          <w:b/>
          <w:noProof/>
          <w:color w:val="484848"/>
          <w:sz w:val="28"/>
          <w:szCs w:val="26"/>
        </w:rPr>
        <mc:AlternateContent>
          <mc:Choice Requires="wps">
            <w:drawing>
              <wp:anchor distT="0" distB="0" distL="114300" distR="114300" simplePos="0" relativeHeight="251663360" behindDoc="0" locked="0" layoutInCell="1" allowOverlap="1" wp14:anchorId="32FA558A" wp14:editId="48B05BA2">
                <wp:simplePos x="0" y="0"/>
                <wp:positionH relativeFrom="column">
                  <wp:posOffset>-4445</wp:posOffset>
                </wp:positionH>
                <wp:positionV relativeFrom="paragraph">
                  <wp:posOffset>293370</wp:posOffset>
                </wp:positionV>
                <wp:extent cx="57531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A7D0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92061" id="Gerader Verbinde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1pt" to="452.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" strokecolor="#a7d0c5" strokeweight=".5pt">
                <v:stroke joinstyle="miter"/>
              </v:line>
            </w:pict>
          </mc:Fallback>
        </mc:AlternateContent>
      </w:r>
      <w:r w:rsidR="00C8706D" w:rsidRPr="00F95F29">
        <w:rPr>
          <w:b/>
          <w:color w:val="484848"/>
          <w:sz w:val="28"/>
          <w:szCs w:val="26"/>
        </w:rPr>
        <w:t>Bundesteilhabegesetz</w:t>
      </w:r>
    </w:p>
    <w:p w:rsidR="00C41E78" w:rsidRDefault="00C8706D" w:rsidP="001F36FE">
      <w:pPr>
        <w:spacing w:after="0" w:line="276" w:lineRule="auto"/>
        <w:jc w:val="both"/>
        <w:rPr>
          <w:color w:val="000000" w:themeColor="text1"/>
        </w:rPr>
      </w:pPr>
      <w:r>
        <w:rPr>
          <w:color w:val="000000" w:themeColor="text1"/>
        </w:rPr>
        <w:t xml:space="preserve">Nach § 95 Abs. 2 Satz 3 SGB IX n. F. ist nun eine Kündigung von Schwerbehinderten, die ein Arbeitgeber ohne vorherige </w:t>
      </w:r>
      <w:r w:rsidR="00C41E78">
        <w:rPr>
          <w:color w:val="000000" w:themeColor="text1"/>
        </w:rPr>
        <w:t>Beteiligung</w:t>
      </w:r>
      <w:r>
        <w:rPr>
          <w:color w:val="000000" w:themeColor="text1"/>
        </w:rPr>
        <w:t xml:space="preserve"> der Schwerbehindertenvertretung ausgesprochen hat, unwirksam. </w:t>
      </w:r>
      <w:r w:rsidR="00C41E78">
        <w:rPr>
          <w:color w:val="000000" w:themeColor="text1"/>
        </w:rPr>
        <w:t>Es bedarf nun einer vorherigen Anhörung des Integrationsamtes, des Betriebsrates und der Schwerbehindertenvertretung.</w:t>
      </w:r>
    </w:p>
    <w:p w:rsidR="001F36FE" w:rsidRPr="001F36FE" w:rsidRDefault="001F36FE" w:rsidP="001F36FE">
      <w:pPr>
        <w:spacing w:after="0" w:line="276" w:lineRule="auto"/>
        <w:jc w:val="both"/>
        <w:rPr>
          <w:color w:val="000000" w:themeColor="text1"/>
        </w:rPr>
      </w:pPr>
    </w:p>
    <w:p w:rsidR="00C41E78" w:rsidRPr="00F95F29" w:rsidRDefault="00F95F29" w:rsidP="00816738">
      <w:pPr>
        <w:pStyle w:val="Listenabsatz"/>
        <w:numPr>
          <w:ilvl w:val="0"/>
          <w:numId w:val="1"/>
        </w:numPr>
        <w:spacing w:after="240" w:line="276" w:lineRule="auto"/>
        <w:ind w:left="587"/>
        <w:jc w:val="both"/>
        <w:rPr>
          <w:rFonts w:cstheme="minorHAnsi"/>
          <w:b/>
          <w:color w:val="484848"/>
          <w:sz w:val="28"/>
          <w:szCs w:val="26"/>
        </w:rPr>
      </w:pPr>
      <w:r>
        <w:rPr>
          <w:b/>
          <w:noProof/>
          <w:color w:val="484848"/>
          <w:sz w:val="28"/>
          <w:szCs w:val="26"/>
        </w:rPr>
        <mc:AlternateContent>
          <mc:Choice Requires="wps">
            <w:drawing>
              <wp:anchor distT="0" distB="0" distL="114300" distR="114300" simplePos="0" relativeHeight="251665408" behindDoc="0" locked="0" layoutInCell="1" allowOverlap="1" wp14:anchorId="31A8F039" wp14:editId="39149226">
                <wp:simplePos x="0" y="0"/>
                <wp:positionH relativeFrom="column">
                  <wp:posOffset>-4445</wp:posOffset>
                </wp:positionH>
                <wp:positionV relativeFrom="paragraph">
                  <wp:posOffset>301625</wp:posOffset>
                </wp:positionV>
                <wp:extent cx="57531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3100" cy="0"/>
                        </a:xfrm>
                        <a:prstGeom prst="line">
                          <a:avLst/>
                        </a:prstGeom>
                        <a:ln>
                          <a:solidFill>
                            <a:srgbClr val="A7D0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B986E" id="Gerader Verbinde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75pt" to="452.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" strokecolor="#a7d0c5" strokeweight=".5pt">
                <v:stroke joinstyle="miter"/>
              </v:line>
            </w:pict>
          </mc:Fallback>
        </mc:AlternateContent>
      </w:r>
      <w:r w:rsidR="00C41E78" w:rsidRPr="00F95F29">
        <w:rPr>
          <w:rFonts w:cstheme="minorHAnsi"/>
          <w:b/>
          <w:color w:val="484848"/>
          <w:sz w:val="28"/>
          <w:szCs w:val="26"/>
        </w:rPr>
        <w:t>Mindestlohn</w:t>
      </w:r>
    </w:p>
    <w:p w:rsidR="00C8706D" w:rsidRPr="001F36FE" w:rsidRDefault="00C41E78" w:rsidP="001F36FE">
      <w:pPr>
        <w:spacing w:after="120" w:line="276" w:lineRule="auto"/>
        <w:jc w:val="both"/>
        <w:rPr>
          <w:b/>
          <w:color w:val="000000" w:themeColor="text1"/>
          <w:sz w:val="26"/>
          <w:szCs w:val="26"/>
        </w:rPr>
      </w:pPr>
      <w:r>
        <w:rPr>
          <w:color w:val="000000" w:themeColor="text1"/>
        </w:rPr>
        <w:t>Auch in diesem Jahr beträgt der Mindestlohn 8,84 Euro</w:t>
      </w:r>
      <w:r w:rsidR="00F95F29">
        <w:rPr>
          <w:color w:val="000000" w:themeColor="text1"/>
        </w:rPr>
        <w:t>. Eine Erhöhung wird nur aller zwei</w:t>
      </w:r>
      <w:r>
        <w:rPr>
          <w:color w:val="000000" w:themeColor="text1"/>
        </w:rPr>
        <w:t xml:space="preserve"> Jahre vorgenommen. </w:t>
      </w:r>
    </w:p>
    <w:sectPr w:rsidR="00C8706D" w:rsidRPr="001F36F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EC" w:rsidRDefault="004E74EC" w:rsidP="004E74EC">
      <w:pPr>
        <w:spacing w:after="0" w:line="240" w:lineRule="auto"/>
      </w:pPr>
      <w:r>
        <w:separator/>
      </w:r>
    </w:p>
  </w:endnote>
  <w:endnote w:type="continuationSeparator" w:id="0">
    <w:p w:rsidR="004E74EC" w:rsidRDefault="004E74EC" w:rsidP="004E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EC" w:rsidRDefault="004E74EC" w:rsidP="004E74EC">
      <w:pPr>
        <w:spacing w:after="0" w:line="240" w:lineRule="auto"/>
      </w:pPr>
      <w:r>
        <w:separator/>
      </w:r>
    </w:p>
  </w:footnote>
  <w:footnote w:type="continuationSeparator" w:id="0">
    <w:p w:rsidR="004E74EC" w:rsidRDefault="004E74EC" w:rsidP="004E7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F29" w:rsidRDefault="00CE2B6D" w:rsidP="004E74EC">
    <w:pPr>
      <w:pStyle w:val="Kopfzeile"/>
      <w:rPr>
        <w:noProof/>
      </w:rPr>
    </w:pPr>
    <w:r>
      <w:rPr>
        <w:noProof/>
      </w:rPr>
      <w:drawing>
        <wp:anchor distT="0" distB="0" distL="114300" distR="114300" simplePos="0" relativeHeight="251658240" behindDoc="1" locked="0" layoutInCell="1" allowOverlap="1">
          <wp:simplePos x="0" y="0"/>
          <wp:positionH relativeFrom="column">
            <wp:posOffset>-880745</wp:posOffset>
          </wp:positionH>
          <wp:positionV relativeFrom="paragraph">
            <wp:posOffset>-421640</wp:posOffset>
          </wp:positionV>
          <wp:extent cx="7686355" cy="271462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intergrund.jpg"/>
                  <pic:cNvPicPr/>
                </pic:nvPicPr>
                <pic:blipFill>
                  <a:blip r:embed="rId1">
                    <a:extLst>
                      <a:ext uri="{28A0092B-C50C-407E-A947-70E740481C1C}">
                        <a14:useLocalDpi xmlns:a14="http://schemas.microsoft.com/office/drawing/2010/main" val="0"/>
                      </a:ext>
                    </a:extLst>
                  </a:blip>
                  <a:stretch>
                    <a:fillRect/>
                  </a:stretch>
                </pic:blipFill>
                <pic:spPr>
                  <a:xfrm>
                    <a:off x="0" y="0"/>
                    <a:ext cx="7686355" cy="2714625"/>
                  </a:xfrm>
                  <a:prstGeom prst="rect">
                    <a:avLst/>
                  </a:prstGeom>
                </pic:spPr>
              </pic:pic>
            </a:graphicData>
          </a:graphic>
          <wp14:sizeRelH relativeFrom="margin">
            <wp14:pctWidth>0</wp14:pctWidth>
          </wp14:sizeRelH>
          <wp14:sizeRelV relativeFrom="margin">
            <wp14:pctHeight>0</wp14:pctHeight>
          </wp14:sizeRelV>
        </wp:anchor>
      </w:drawing>
    </w:r>
    <w:r w:rsidR="004427E0">
      <w:rPr>
        <w:noProof/>
      </w:rPr>
      <w:drawing>
        <wp:anchor distT="0" distB="0" distL="114300" distR="114300" simplePos="0" relativeHeight="251657215" behindDoc="1" locked="0" layoutInCell="1" allowOverlap="1">
          <wp:simplePos x="0" y="0"/>
          <wp:positionH relativeFrom="column">
            <wp:posOffset>-880745</wp:posOffset>
          </wp:positionH>
          <wp:positionV relativeFrom="paragraph">
            <wp:posOffset>-189755</wp:posOffset>
          </wp:positionV>
          <wp:extent cx="7503795" cy="10441195"/>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ntergrund2.jpg"/>
                  <pic:cNvPicPr/>
                </pic:nvPicPr>
                <pic:blipFill>
                  <a:blip r:embed="rId2">
                    <a:extLst>
                      <a:ext uri="{28A0092B-C50C-407E-A947-70E740481C1C}">
                        <a14:useLocalDpi xmlns:a14="http://schemas.microsoft.com/office/drawing/2010/main" val="0"/>
                      </a:ext>
                    </a:extLst>
                  </a:blip>
                  <a:stretch>
                    <a:fillRect/>
                  </a:stretch>
                </pic:blipFill>
                <pic:spPr>
                  <a:xfrm>
                    <a:off x="0" y="0"/>
                    <a:ext cx="7504892" cy="10442721"/>
                  </a:xfrm>
                  <a:prstGeom prst="rect">
                    <a:avLst/>
                  </a:prstGeom>
                </pic:spPr>
              </pic:pic>
            </a:graphicData>
          </a:graphic>
          <wp14:sizeRelH relativeFrom="margin">
            <wp14:pctWidth>0</wp14:pctWidth>
          </wp14:sizeRelH>
          <wp14:sizeRelV relativeFrom="margin">
            <wp14:pctHeight>0</wp14:pctHeight>
          </wp14:sizeRelV>
        </wp:anchor>
      </w:drawing>
    </w:r>
  </w:p>
  <w:p w:rsidR="004E74EC" w:rsidRPr="004E74EC" w:rsidRDefault="004E74EC" w:rsidP="004E7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6468"/>
    <w:multiLevelType w:val="hybridMultilevel"/>
    <w:tmpl w:val="66E25A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C"/>
    <w:rsid w:val="001F36FE"/>
    <w:rsid w:val="004427E0"/>
    <w:rsid w:val="00494E84"/>
    <w:rsid w:val="004E74EC"/>
    <w:rsid w:val="007437BE"/>
    <w:rsid w:val="00816738"/>
    <w:rsid w:val="0088093D"/>
    <w:rsid w:val="00C41E78"/>
    <w:rsid w:val="00C8706D"/>
    <w:rsid w:val="00CE2B6D"/>
    <w:rsid w:val="00E459A8"/>
    <w:rsid w:val="00F95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4BA3"/>
  <w15:chartTrackingRefBased/>
  <w15:docId w15:val="{10C52C05-DDA8-47AB-B22C-7229BDB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74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4EC"/>
  </w:style>
  <w:style w:type="paragraph" w:styleId="Fuzeile">
    <w:name w:val="footer"/>
    <w:basedOn w:val="Standard"/>
    <w:link w:val="FuzeileZchn"/>
    <w:uiPriority w:val="99"/>
    <w:unhideWhenUsed/>
    <w:rsid w:val="004E74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4EC"/>
  </w:style>
  <w:style w:type="paragraph" w:styleId="Listenabsatz">
    <w:name w:val="List Paragraph"/>
    <w:basedOn w:val="Standard"/>
    <w:uiPriority w:val="34"/>
    <w:qFormat/>
    <w:rsid w:val="001F36FE"/>
    <w:pPr>
      <w:ind w:left="720"/>
      <w:contextualSpacing/>
    </w:pPr>
  </w:style>
  <w:style w:type="paragraph" w:styleId="Sprechblasentext">
    <w:name w:val="Balloon Text"/>
    <w:basedOn w:val="Standard"/>
    <w:link w:val="SprechblasentextZchn"/>
    <w:uiPriority w:val="99"/>
    <w:semiHidden/>
    <w:unhideWhenUsed/>
    <w:rsid w:val="004427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2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5</cp:revision>
  <cp:lastPrinted>2018-01-04T13:53:00Z</cp:lastPrinted>
  <dcterms:created xsi:type="dcterms:W3CDTF">2018-01-04T13:37:00Z</dcterms:created>
  <dcterms:modified xsi:type="dcterms:W3CDTF">2018-01-04T13:54:00Z</dcterms:modified>
</cp:coreProperties>
</file>