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9" w:rsidRPr="00023BE9" w:rsidRDefault="00023BE9" w:rsidP="00517C76">
      <w:pPr>
        <w:pStyle w:val="KeinLeerraum"/>
        <w:ind w:left="-284" w:right="-424"/>
        <w:jc w:val="right"/>
        <w:rPr>
          <w:b/>
          <w:color w:val="2E74B5" w:themeColor="accent1" w:themeShade="BF"/>
          <w:sz w:val="48"/>
          <w:szCs w:val="48"/>
        </w:rPr>
      </w:pPr>
      <w:r w:rsidRPr="00023BE9">
        <w:rPr>
          <w:b/>
          <w:color w:val="385623" w:themeColor="accent6" w:themeShade="80"/>
          <w:sz w:val="48"/>
          <w:szCs w:val="48"/>
        </w:rPr>
        <w:tab/>
      </w:r>
      <w:r w:rsidRPr="00023BE9">
        <w:rPr>
          <w:b/>
          <w:color w:val="2E74B5" w:themeColor="accent1" w:themeShade="BF"/>
          <w:sz w:val="48"/>
          <w:szCs w:val="48"/>
        </w:rPr>
        <w:t xml:space="preserve">Sperrzeiten des Arbeitslosengeldes bei Eigenkündigung &amp; Aufhebungsverträgen </w:t>
      </w:r>
    </w:p>
    <w:p w:rsidR="00023BE9" w:rsidRPr="00023BE9" w:rsidRDefault="00023BE9" w:rsidP="00517C76">
      <w:pPr>
        <w:pStyle w:val="KeinLeerraum"/>
        <w:ind w:left="-284" w:right="-424"/>
        <w:jc w:val="right"/>
        <w:rPr>
          <w:b/>
          <w:color w:val="FFC000"/>
          <w:sz w:val="48"/>
          <w:szCs w:val="48"/>
        </w:rPr>
      </w:pPr>
      <w:r w:rsidRPr="00023BE9">
        <w:rPr>
          <w:b/>
          <w:color w:val="FFC000"/>
          <w:sz w:val="48"/>
          <w:szCs w:val="48"/>
        </w:rPr>
        <w:t>Die neuen Regelungen</w:t>
      </w:r>
    </w:p>
    <w:p w:rsidR="0088093D" w:rsidRDefault="00517C76" w:rsidP="00517C76">
      <w:pPr>
        <w:ind w:left="-284" w:right="-424"/>
      </w:pPr>
      <w:r>
        <w:rPr>
          <w:noProof/>
          <w:lang w:eastAsia="de-DE"/>
        </w:rPr>
        <mc:AlternateContent>
          <mc:Choice Requires="wps">
            <w:drawing>
              <wp:anchor distT="45720" distB="45720" distL="114300" distR="114300" simplePos="0" relativeHeight="251659264" behindDoc="1" locked="0" layoutInCell="1" allowOverlap="1">
                <wp:simplePos x="0" y="0"/>
                <wp:positionH relativeFrom="column">
                  <wp:posOffset>1481455</wp:posOffset>
                </wp:positionH>
                <wp:positionV relativeFrom="paragraph">
                  <wp:posOffset>254635</wp:posOffset>
                </wp:positionV>
                <wp:extent cx="4619625" cy="99060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990600"/>
                        </a:xfrm>
                        <a:prstGeom prst="rect">
                          <a:avLst/>
                        </a:prstGeom>
                        <a:noFill/>
                        <a:ln w="9525">
                          <a:noFill/>
                          <a:miter lim="800000"/>
                          <a:headEnd/>
                          <a:tailEnd/>
                        </a:ln>
                      </wps:spPr>
                      <wps:txbx>
                        <w:txbxContent>
                          <w:p w:rsidR="00023BE9" w:rsidRPr="00517C76" w:rsidRDefault="00023BE9" w:rsidP="00023BE9">
                            <w:pPr>
                              <w:pStyle w:val="berschrift3"/>
                              <w:spacing w:line="240" w:lineRule="auto"/>
                              <w:jc w:val="both"/>
                              <w:rPr>
                                <w:b/>
                                <w:color w:val="404040" w:themeColor="text1" w:themeTint="BF"/>
                              </w:rPr>
                            </w:pPr>
                            <w:r w:rsidRPr="00517C76">
                              <w:rPr>
                                <w:b/>
                                <w:color w:val="404040" w:themeColor="text1" w:themeTint="BF"/>
                              </w:rPr>
                              <w:t xml:space="preserve">Hat ein Arbeitnehmer sein Arbeitsverhältnis selbst ohne wichtigen Grund gekündigt oder es wurde aufgrund arbeitsvertragswidrigem Verhalten gelöst, so ruht der Anspruch auf Arbeitslosengeld (ALG) in der Regel für 12 Wochen (§ 159 SGB III). </w:t>
                            </w:r>
                          </w:p>
                          <w:p w:rsidR="00023BE9" w:rsidRDefault="00023B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16.65pt;margin-top:20.05pt;width:363.75pt;height:7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" filled="f" stroked="f">
                <v:textbox>
                  <w:txbxContent>
                    <w:p w:rsidR="00023BE9" w:rsidRPr="00517C76" w:rsidRDefault="00023BE9" w:rsidP="00023BE9">
                      <w:pPr>
                        <w:pStyle w:val="berschrift3"/>
                        <w:spacing w:line="240" w:lineRule="auto"/>
                        <w:jc w:val="both"/>
                        <w:rPr>
                          <w:b/>
                          <w:color w:val="404040" w:themeColor="text1" w:themeTint="BF"/>
                        </w:rPr>
                      </w:pPr>
                      <w:r w:rsidRPr="00517C76">
                        <w:rPr>
                          <w:b/>
                          <w:color w:val="404040" w:themeColor="text1" w:themeTint="BF"/>
                        </w:rPr>
                        <w:t xml:space="preserve">Hat ein Arbeitnehmer sein Arbeitsverhältnis selbst ohne wichtigen Grund gekündigt oder es wurde aufgrund arbeitsvertragswidrigem Verhalten gelöst, so ruht der Anspruch auf Arbeitslosengeld (ALG) in der Regel für 12 Wochen (§ 159 SGB III). </w:t>
                      </w:r>
                    </w:p>
                    <w:p w:rsidR="00023BE9" w:rsidRDefault="00023BE9"/>
                  </w:txbxContent>
                </v:textbox>
              </v:shape>
            </w:pict>
          </mc:Fallback>
        </mc:AlternateContent>
      </w:r>
    </w:p>
    <w:p w:rsidR="00023BE9" w:rsidRDefault="00023BE9" w:rsidP="00517C76">
      <w:pPr>
        <w:pStyle w:val="berschrift3"/>
        <w:spacing w:line="240" w:lineRule="auto"/>
        <w:ind w:left="-284" w:right="-424"/>
        <w:jc w:val="both"/>
      </w:pPr>
    </w:p>
    <w:p w:rsidR="00023BE9" w:rsidRDefault="00023BE9" w:rsidP="00517C76">
      <w:pPr>
        <w:pStyle w:val="berschrift3"/>
        <w:spacing w:line="240" w:lineRule="auto"/>
        <w:ind w:left="-284" w:right="-424"/>
        <w:jc w:val="both"/>
      </w:pPr>
    </w:p>
    <w:p w:rsidR="00023BE9" w:rsidRDefault="00023BE9" w:rsidP="00517C76">
      <w:pPr>
        <w:pStyle w:val="berschrift3"/>
        <w:spacing w:line="240" w:lineRule="auto"/>
        <w:ind w:left="-284" w:right="-424"/>
        <w:jc w:val="both"/>
      </w:pPr>
    </w:p>
    <w:p w:rsidR="00023BE9" w:rsidRPr="00023BE9" w:rsidRDefault="00023BE9" w:rsidP="00517C76">
      <w:pPr>
        <w:pStyle w:val="berschrift1"/>
        <w:spacing w:line="240" w:lineRule="auto"/>
        <w:ind w:left="-284" w:right="-424"/>
        <w:jc w:val="both"/>
        <w:rPr>
          <w:sz w:val="8"/>
          <w:szCs w:val="16"/>
        </w:rPr>
      </w:pPr>
    </w:p>
    <w:p w:rsidR="00023BE9" w:rsidRPr="00517C76" w:rsidRDefault="00517C76" w:rsidP="00517C76">
      <w:pPr>
        <w:pStyle w:val="berschrift1"/>
        <w:spacing w:line="240" w:lineRule="auto"/>
        <w:ind w:left="-284" w:right="-424"/>
        <w:jc w:val="both"/>
        <w:rPr>
          <w:b/>
        </w:rPr>
      </w:pPr>
      <w:r>
        <w:rPr>
          <w:noProof/>
          <w:sz w:val="10"/>
          <w:lang w:eastAsia="de-DE"/>
        </w:rPr>
        <mc:AlternateContent>
          <mc:Choice Requires="wps">
            <w:drawing>
              <wp:anchor distT="0" distB="0" distL="114300" distR="114300" simplePos="0" relativeHeight="251660288" behindDoc="0" locked="0" layoutInCell="1" allowOverlap="1">
                <wp:simplePos x="0" y="0"/>
                <wp:positionH relativeFrom="column">
                  <wp:posOffset>-194945</wp:posOffset>
                </wp:positionH>
                <wp:positionV relativeFrom="paragraph">
                  <wp:posOffset>422275</wp:posOffset>
                </wp:positionV>
                <wp:extent cx="3311525" cy="0"/>
                <wp:effectExtent l="0" t="0" r="22225" b="19050"/>
                <wp:wrapNone/>
                <wp:docPr id="22" name="Gerader Verbinder 22"/>
                <wp:cNvGraphicFramePr/>
                <a:graphic xmlns:a="http://schemas.openxmlformats.org/drawingml/2006/main">
                  <a:graphicData uri="http://schemas.microsoft.com/office/word/2010/wordprocessingShape">
                    <wps:wsp>
                      <wps:cNvCnPr/>
                      <wps:spPr>
                        <a:xfrm>
                          <a:off x="0" y="0"/>
                          <a:ext cx="3311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090DCE" id="Gerader Verbinder 2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33.25pt" to="245.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" strokecolor="#ffc000" strokeweight=".5pt">
                <v:stroke joinstyle="miter"/>
              </v:line>
            </w:pict>
          </mc:Fallback>
        </mc:AlternateContent>
      </w:r>
      <w:r w:rsidR="00023BE9" w:rsidRPr="00517C76">
        <w:rPr>
          <w:b/>
        </w:rPr>
        <w:t>Sperrzeitverkürzung</w:t>
      </w:r>
    </w:p>
    <w:p w:rsidR="00023BE9" w:rsidRPr="00023BE9" w:rsidRDefault="00023BE9" w:rsidP="00517C76">
      <w:pPr>
        <w:ind w:left="-284" w:right="-424"/>
        <w:rPr>
          <w:sz w:val="10"/>
        </w:rPr>
      </w:pPr>
    </w:p>
    <w:p w:rsidR="00023BE9" w:rsidRPr="00023BE9" w:rsidRDefault="00F40C4E" w:rsidP="00517C76">
      <w:pPr>
        <w:spacing w:line="240" w:lineRule="auto"/>
        <w:ind w:left="-284" w:right="-141"/>
        <w:jc w:val="both"/>
        <w:rPr>
          <w:color w:val="404040" w:themeColor="text1" w:themeTint="BF"/>
        </w:rPr>
      </w:pPr>
      <w:r>
        <w:rPr>
          <w:color w:val="404040" w:themeColor="text1" w:themeTint="BF"/>
        </w:rPr>
        <w:t>Diese</w:t>
      </w:r>
      <w:r w:rsidR="00BF52B4">
        <w:rPr>
          <w:color w:val="404040" w:themeColor="text1" w:themeTint="BF"/>
        </w:rPr>
        <w:t xml:space="preserve"> Sperr</w:t>
      </w:r>
      <w:r>
        <w:rPr>
          <w:color w:val="404040" w:themeColor="text1" w:themeTint="BF"/>
        </w:rPr>
        <w:t>e</w:t>
      </w:r>
      <w:r w:rsidR="00BF52B4">
        <w:rPr>
          <w:color w:val="404040" w:themeColor="text1" w:themeTint="BF"/>
        </w:rPr>
        <w:t xml:space="preserve"> des ALG </w:t>
      </w:r>
      <w:r>
        <w:rPr>
          <w:color w:val="404040" w:themeColor="text1" w:themeTint="BF"/>
        </w:rPr>
        <w:t>soll zwar versicherungswidriges Verhalten sanktionieren</w:t>
      </w:r>
      <w:bookmarkStart w:id="0" w:name="_GoBack"/>
      <w:bookmarkEnd w:id="0"/>
      <w:r w:rsidR="00023BE9" w:rsidRPr="00023BE9">
        <w:rPr>
          <w:color w:val="404040" w:themeColor="text1" w:themeTint="BF"/>
        </w:rPr>
        <w:t>, darf aber nicht den Charakter einer Strafe haben (BVerfG 13.06.1983). Somit gibt es Regelungen, welche eine Sperrzeit des ALG verkürzen:</w:t>
      </w:r>
    </w:p>
    <w:p w:rsidR="00023BE9" w:rsidRPr="00023BE9" w:rsidRDefault="00023BE9" w:rsidP="00517C76">
      <w:pPr>
        <w:pStyle w:val="Listenabsatz"/>
        <w:numPr>
          <w:ilvl w:val="0"/>
          <w:numId w:val="1"/>
        </w:numPr>
        <w:spacing w:line="240" w:lineRule="auto"/>
        <w:ind w:left="426" w:right="710"/>
        <w:rPr>
          <w:color w:val="404040" w:themeColor="text1" w:themeTint="BF"/>
        </w:rPr>
      </w:pPr>
      <w:r w:rsidRPr="00023BE9">
        <w:rPr>
          <w:b/>
          <w:color w:val="404040" w:themeColor="text1" w:themeTint="BF"/>
        </w:rPr>
        <w:t>Sperrzeit 3 Wochen:</w:t>
      </w:r>
      <w:r w:rsidRPr="00023BE9">
        <w:rPr>
          <w:color w:val="404040" w:themeColor="text1" w:themeTint="BF"/>
        </w:rPr>
        <w:t xml:space="preserve"> Wenn das Arbeitsverhältnis innerhalb von 6 Wochen auch ohne Eigenkündigung oder Selbstverschulden geendet hätte</w:t>
      </w:r>
    </w:p>
    <w:p w:rsidR="00023BE9" w:rsidRPr="00023BE9" w:rsidRDefault="00023BE9" w:rsidP="00517C76">
      <w:pPr>
        <w:pStyle w:val="Listenabsatz"/>
        <w:numPr>
          <w:ilvl w:val="0"/>
          <w:numId w:val="1"/>
        </w:numPr>
        <w:spacing w:line="240" w:lineRule="auto"/>
        <w:ind w:left="426" w:right="710"/>
        <w:rPr>
          <w:color w:val="404040" w:themeColor="text1" w:themeTint="BF"/>
        </w:rPr>
      </w:pPr>
      <w:r w:rsidRPr="00023BE9">
        <w:rPr>
          <w:b/>
          <w:color w:val="404040" w:themeColor="text1" w:themeTint="BF"/>
        </w:rPr>
        <w:t>Sperrzeit 6 Wochen:</w:t>
      </w:r>
      <w:r w:rsidRPr="00023BE9">
        <w:rPr>
          <w:color w:val="404040" w:themeColor="text1" w:themeTint="BF"/>
        </w:rPr>
        <w:t xml:space="preserve"> Wenn das Arbeitsverhältnis innerhalb von 12 Wochen auch ohne Eigenkündigung oder Selbstverschulden geendet hätte</w:t>
      </w:r>
    </w:p>
    <w:p w:rsidR="00023BE9" w:rsidRPr="00023BE9" w:rsidRDefault="00023BE9" w:rsidP="00517C76">
      <w:pPr>
        <w:pStyle w:val="Listenabsatz"/>
        <w:numPr>
          <w:ilvl w:val="0"/>
          <w:numId w:val="1"/>
        </w:numPr>
        <w:spacing w:line="240" w:lineRule="auto"/>
        <w:ind w:left="426" w:right="710"/>
        <w:rPr>
          <w:color w:val="404040" w:themeColor="text1" w:themeTint="BF"/>
        </w:rPr>
      </w:pPr>
      <w:r w:rsidRPr="00023BE9">
        <w:rPr>
          <w:b/>
          <w:color w:val="404040" w:themeColor="text1" w:themeTint="BF"/>
        </w:rPr>
        <w:t>Sperrzeit 6 Wochen:</w:t>
      </w:r>
      <w:r w:rsidRPr="00023BE9">
        <w:rPr>
          <w:color w:val="404040" w:themeColor="text1" w:themeTint="BF"/>
        </w:rPr>
        <w:t xml:space="preserve"> Wenn die Sperrzeit von 12 Wochen für den Arbeitslosen, unter Beachtung der Umstände, die zur Sperrung geführt haben, eine besondere Härte darstellen würde (ohne Berücksichtigung persönlicher oder familiärer Umstände)</w:t>
      </w:r>
    </w:p>
    <w:p w:rsidR="00023BE9" w:rsidRPr="00517C76" w:rsidRDefault="00517C76" w:rsidP="00517C76">
      <w:pPr>
        <w:pStyle w:val="berschrift1"/>
        <w:spacing w:line="240" w:lineRule="auto"/>
        <w:ind w:left="-284" w:right="-141"/>
        <w:jc w:val="both"/>
        <w:rPr>
          <w:b/>
        </w:rPr>
      </w:pPr>
      <w:r>
        <w:rPr>
          <w:noProof/>
          <w:sz w:val="10"/>
          <w:lang w:eastAsia="de-DE"/>
        </w:rPr>
        <mc:AlternateContent>
          <mc:Choice Requires="wps">
            <w:drawing>
              <wp:anchor distT="0" distB="0" distL="114300" distR="114300" simplePos="0" relativeHeight="251662336" behindDoc="0" locked="0" layoutInCell="1" allowOverlap="1" wp14:anchorId="39774A01" wp14:editId="305EE4FA">
                <wp:simplePos x="0" y="0"/>
                <wp:positionH relativeFrom="column">
                  <wp:posOffset>-194945</wp:posOffset>
                </wp:positionH>
                <wp:positionV relativeFrom="paragraph">
                  <wp:posOffset>346075</wp:posOffset>
                </wp:positionV>
                <wp:extent cx="3311525" cy="0"/>
                <wp:effectExtent l="0" t="0" r="22225" b="19050"/>
                <wp:wrapNone/>
                <wp:docPr id="23" name="Gerader Verbinder 23"/>
                <wp:cNvGraphicFramePr/>
                <a:graphic xmlns:a="http://schemas.openxmlformats.org/drawingml/2006/main">
                  <a:graphicData uri="http://schemas.microsoft.com/office/word/2010/wordprocessingShape">
                    <wps:wsp>
                      <wps:cNvCnPr/>
                      <wps:spPr>
                        <a:xfrm>
                          <a:off x="0" y="0"/>
                          <a:ext cx="3311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17708" id="Gerader Verbinder 2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27.25pt" to="24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" strokecolor="#ffc000" strokeweight=".5pt">
                <v:stroke joinstyle="miter"/>
              </v:line>
            </w:pict>
          </mc:Fallback>
        </mc:AlternateContent>
      </w:r>
      <w:r w:rsidR="00023BE9" w:rsidRPr="00517C76">
        <w:rPr>
          <w:b/>
        </w:rPr>
        <w:t>Sonderfall Aufhebungsvertrag</w:t>
      </w:r>
    </w:p>
    <w:p w:rsidR="00023BE9" w:rsidRPr="00023BE9" w:rsidRDefault="00023BE9" w:rsidP="00517C76">
      <w:pPr>
        <w:ind w:left="-284" w:right="-141"/>
        <w:rPr>
          <w:sz w:val="10"/>
        </w:rPr>
      </w:pPr>
    </w:p>
    <w:p w:rsidR="00023BE9" w:rsidRPr="00023BE9" w:rsidRDefault="00023BE9" w:rsidP="00517C76">
      <w:pPr>
        <w:spacing w:line="240" w:lineRule="auto"/>
        <w:ind w:left="-284" w:right="-141"/>
        <w:jc w:val="both"/>
        <w:rPr>
          <w:color w:val="404040" w:themeColor="text1" w:themeTint="BF"/>
        </w:rPr>
      </w:pPr>
      <w:r w:rsidRPr="00023BE9">
        <w:rPr>
          <w:color w:val="404040" w:themeColor="text1" w:themeTint="BF"/>
        </w:rPr>
        <w:t xml:space="preserve">Bei Zahlung einer Abfindung bei einer rechtswidrigen Kündigung wird ebenfalls eine Sperrzeit verhängt – der Aufhebungsvertrag wird einer Eigenkündigung gleichgestellt. </w:t>
      </w:r>
    </w:p>
    <w:p w:rsidR="00023BE9" w:rsidRPr="00023BE9" w:rsidRDefault="00023BE9" w:rsidP="00517C76">
      <w:pPr>
        <w:spacing w:line="240" w:lineRule="auto"/>
        <w:ind w:left="-284" w:right="-141"/>
        <w:jc w:val="both"/>
        <w:rPr>
          <w:color w:val="404040" w:themeColor="text1" w:themeTint="BF"/>
        </w:rPr>
      </w:pPr>
      <w:r w:rsidRPr="00023BE9">
        <w:rPr>
          <w:b/>
          <w:color w:val="404040" w:themeColor="text1" w:themeTint="BF"/>
        </w:rPr>
        <w:t>ABER:</w:t>
      </w:r>
      <w:r w:rsidRPr="00023BE9">
        <w:rPr>
          <w:color w:val="404040" w:themeColor="text1" w:themeTint="BF"/>
        </w:rPr>
        <w:t xml:space="preserve"> Wird der Arbeitnehmer vor die Wahl zwischen Aufhebungsvertrag oder ordentliche Kündigung gestellt, so wird bei Entscheidung zum Aufhebungsvertrag keine Sperrzeit verhängt.</w:t>
      </w:r>
    </w:p>
    <w:p w:rsidR="00023BE9" w:rsidRPr="00517C76" w:rsidRDefault="00517C76" w:rsidP="00517C76">
      <w:pPr>
        <w:pStyle w:val="berschrift1"/>
        <w:spacing w:line="240" w:lineRule="auto"/>
        <w:ind w:left="-284" w:right="-141"/>
        <w:jc w:val="both"/>
        <w:rPr>
          <w:b/>
        </w:rPr>
      </w:pPr>
      <w:r>
        <w:rPr>
          <w:noProof/>
          <w:sz w:val="10"/>
          <w:lang w:eastAsia="de-DE"/>
        </w:rPr>
        <mc:AlternateContent>
          <mc:Choice Requires="wps">
            <w:drawing>
              <wp:anchor distT="0" distB="0" distL="114300" distR="114300" simplePos="0" relativeHeight="251664384" behindDoc="0" locked="0" layoutInCell="1" allowOverlap="1" wp14:anchorId="32D5A67A" wp14:editId="496066DE">
                <wp:simplePos x="0" y="0"/>
                <wp:positionH relativeFrom="column">
                  <wp:posOffset>-194945</wp:posOffset>
                </wp:positionH>
                <wp:positionV relativeFrom="paragraph">
                  <wp:posOffset>329565</wp:posOffset>
                </wp:positionV>
                <wp:extent cx="3311525" cy="0"/>
                <wp:effectExtent l="0" t="0" r="22225" b="19050"/>
                <wp:wrapNone/>
                <wp:docPr id="24" name="Gerader Verbinder 24"/>
                <wp:cNvGraphicFramePr/>
                <a:graphic xmlns:a="http://schemas.openxmlformats.org/drawingml/2006/main">
                  <a:graphicData uri="http://schemas.microsoft.com/office/word/2010/wordprocessingShape">
                    <wps:wsp>
                      <wps:cNvCnPr/>
                      <wps:spPr>
                        <a:xfrm>
                          <a:off x="0" y="0"/>
                          <a:ext cx="331152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78B1C" id="Gerader Verbinder 2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5.95pt" to="245.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" strokecolor="#ffc000" strokeweight=".5pt">
                <v:stroke joinstyle="miter"/>
              </v:line>
            </w:pict>
          </mc:Fallback>
        </mc:AlternateContent>
      </w:r>
      <w:r w:rsidR="00023BE9" w:rsidRPr="00517C76">
        <w:rPr>
          <w:b/>
        </w:rPr>
        <w:t>Keine Sperrzeit bei wichtigem Grund</w:t>
      </w:r>
    </w:p>
    <w:p w:rsidR="00023BE9" w:rsidRPr="00023BE9" w:rsidRDefault="00023BE9" w:rsidP="00517C76">
      <w:pPr>
        <w:ind w:left="-284" w:right="-141"/>
        <w:rPr>
          <w:sz w:val="10"/>
        </w:rPr>
      </w:pPr>
    </w:p>
    <w:p w:rsidR="00023BE9" w:rsidRPr="00023BE9" w:rsidRDefault="00F40C4E" w:rsidP="00517C76">
      <w:pPr>
        <w:spacing w:line="240" w:lineRule="auto"/>
        <w:ind w:left="-284" w:right="-141"/>
        <w:jc w:val="both"/>
        <w:rPr>
          <w:color w:val="404040" w:themeColor="text1" w:themeTint="BF"/>
        </w:rPr>
      </w:pPr>
      <w:r>
        <w:rPr>
          <w:color w:val="404040" w:themeColor="text1" w:themeTint="BF"/>
        </w:rPr>
        <w:t>Es tritt keine Sperrzeit ein</w:t>
      </w:r>
      <w:r w:rsidR="00023BE9" w:rsidRPr="00023BE9">
        <w:rPr>
          <w:color w:val="404040" w:themeColor="text1" w:themeTint="BF"/>
        </w:rPr>
        <w:t xml:space="preserve">, wenn der Leistungsempfänger wichtige </w:t>
      </w:r>
      <w:r w:rsidR="00023BE9" w:rsidRPr="00023BE9">
        <w:rPr>
          <w:b/>
          <w:color w:val="404040" w:themeColor="text1" w:themeTint="BF"/>
        </w:rPr>
        <w:t>„betriebliche“ und jetzt neu: „personenbezogene“</w:t>
      </w:r>
      <w:r w:rsidR="001432FC">
        <w:rPr>
          <w:b/>
          <w:color w:val="404040" w:themeColor="text1" w:themeTint="BF"/>
        </w:rPr>
        <w:t xml:space="preserve"> </w:t>
      </w:r>
      <w:r w:rsidR="001432FC" w:rsidRPr="00023BE9">
        <w:rPr>
          <w:color w:val="404040" w:themeColor="text1" w:themeTint="BF"/>
        </w:rPr>
        <w:t>Gründe</w:t>
      </w:r>
      <w:r w:rsidR="00023BE9" w:rsidRPr="001432FC">
        <w:rPr>
          <w:color w:val="404040" w:themeColor="text1" w:themeTint="BF"/>
        </w:rPr>
        <w:t xml:space="preserve">, was die krankheitsbedingten Gründe miteinschließt, </w:t>
      </w:r>
      <w:r w:rsidR="00023BE9" w:rsidRPr="00023BE9">
        <w:rPr>
          <w:color w:val="404040" w:themeColor="text1" w:themeTint="BF"/>
        </w:rPr>
        <w:t xml:space="preserve">für sein Verhalten nachweisen kann und belegt, dass „unter Berücksichtigung der Gesamtumstände“ kein anderes Verhalten zumutbar war und die Kündigung nicht in die Zukunft verschoben werden konnte. </w:t>
      </w:r>
    </w:p>
    <w:p w:rsidR="00023BE9" w:rsidRPr="00023BE9" w:rsidRDefault="00023BE9" w:rsidP="00517C76">
      <w:pPr>
        <w:spacing w:line="240" w:lineRule="auto"/>
        <w:ind w:left="-284" w:right="-141"/>
        <w:jc w:val="both"/>
        <w:rPr>
          <w:color w:val="404040" w:themeColor="text1" w:themeTint="BF"/>
        </w:rPr>
      </w:pPr>
      <w:r w:rsidRPr="00023BE9">
        <w:rPr>
          <w:color w:val="404040" w:themeColor="text1" w:themeTint="BF"/>
        </w:rPr>
        <w:t>Dies prüfen die Sachbearbeiter der Arbeitsagentur von Amts wegen. Zu den wichtigen Gründen bei Eigenkündigung zählt zum Beispiel Mobbing. Bei Ablehnung einer Arbeit gehört zu den wichtigen Gründen u. a., wenn die Arbeitsschutzbestimmungen nicht eingehalten werden oder die Arbeit gegen ein Gesetz oder die guten Sitten verstößt.</w:t>
      </w:r>
    </w:p>
    <w:p w:rsidR="00023BE9" w:rsidRPr="00517C76" w:rsidRDefault="00023BE9" w:rsidP="00517C76">
      <w:pPr>
        <w:spacing w:line="240" w:lineRule="auto"/>
        <w:ind w:left="-284" w:right="-141"/>
        <w:rPr>
          <w:color w:val="404040" w:themeColor="text1" w:themeTint="BF"/>
        </w:rPr>
      </w:pPr>
      <w:r w:rsidRPr="00517C76">
        <w:rPr>
          <w:color w:val="404040" w:themeColor="text1" w:themeTint="BF"/>
        </w:rPr>
        <w:t xml:space="preserve">Außerdem gibt es eine Geschäftsanweisung der Bundesagentur für Arbeit mit einer </w:t>
      </w:r>
      <w:r w:rsidR="00517C76">
        <w:rPr>
          <w:color w:val="404040" w:themeColor="text1" w:themeTint="BF"/>
        </w:rPr>
        <w:br/>
      </w:r>
      <w:r w:rsidRPr="00517C76">
        <w:rPr>
          <w:color w:val="404040" w:themeColor="text1" w:themeTint="BF"/>
        </w:rPr>
        <w:t xml:space="preserve">Auflistung wichtiger Gründe. Diese legen wir im Betriebsratsbüro zum Nachlesen aus. </w:t>
      </w:r>
    </w:p>
    <w:p w:rsidR="00023BE9" w:rsidRPr="00517C76" w:rsidRDefault="00023BE9" w:rsidP="00517C76">
      <w:pPr>
        <w:spacing w:line="240" w:lineRule="auto"/>
        <w:ind w:left="-284" w:right="-141"/>
        <w:rPr>
          <w:i/>
          <w:color w:val="404040" w:themeColor="text1" w:themeTint="BF"/>
        </w:rPr>
      </w:pPr>
      <w:r w:rsidRPr="00517C76">
        <w:rPr>
          <w:i/>
          <w:color w:val="404040" w:themeColor="text1" w:themeTint="BF"/>
        </w:rPr>
        <w:t>Bei Fragen zu diesem oder anderen Themen stehen wir jederzeit zur Verfügung!</w:t>
      </w:r>
    </w:p>
    <w:p w:rsidR="00023BE9" w:rsidRPr="00517C76" w:rsidRDefault="00023BE9" w:rsidP="00517C76">
      <w:pPr>
        <w:spacing w:line="240" w:lineRule="auto"/>
        <w:ind w:left="-284" w:right="-141"/>
        <w:rPr>
          <w:b/>
          <w:i/>
          <w:color w:val="404040" w:themeColor="text1" w:themeTint="BF"/>
        </w:rPr>
      </w:pPr>
      <w:r w:rsidRPr="00517C76">
        <w:rPr>
          <w:b/>
          <w:i/>
          <w:color w:val="404040" w:themeColor="text1" w:themeTint="BF"/>
        </w:rPr>
        <w:t xml:space="preserve">Der Betriebsrat </w:t>
      </w:r>
    </w:p>
    <w:sectPr w:rsidR="00023BE9" w:rsidRPr="00517C76" w:rsidSect="00023BE9">
      <w:headerReference w:type="default" r:id="rId7"/>
      <w:pgSz w:w="11906" w:h="16838"/>
      <w:pgMar w:top="1276"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BE9" w:rsidRDefault="00023BE9" w:rsidP="00023BE9">
      <w:pPr>
        <w:spacing w:after="0" w:line="240" w:lineRule="auto"/>
      </w:pPr>
      <w:r>
        <w:separator/>
      </w:r>
    </w:p>
  </w:endnote>
  <w:endnote w:type="continuationSeparator" w:id="0">
    <w:p w:rsidR="00023BE9" w:rsidRDefault="00023BE9" w:rsidP="0002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BE9" w:rsidRDefault="00023BE9" w:rsidP="00023BE9">
      <w:pPr>
        <w:spacing w:after="0" w:line="240" w:lineRule="auto"/>
      </w:pPr>
      <w:r>
        <w:separator/>
      </w:r>
    </w:p>
  </w:footnote>
  <w:footnote w:type="continuationSeparator" w:id="0">
    <w:p w:rsidR="00023BE9" w:rsidRDefault="00023BE9" w:rsidP="0002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BE9" w:rsidRDefault="00023BE9">
    <w:pPr>
      <w:pStyle w:val="Kopfzeile"/>
    </w:pPr>
    <w:r>
      <w:rPr>
        <w:noProof/>
        <w:lang w:eastAsia="de-DE"/>
      </w:rPr>
      <mc:AlternateContent>
        <mc:Choice Requires="wps">
          <w:drawing>
            <wp:anchor distT="45720" distB="45720" distL="114300" distR="114300" simplePos="0" relativeHeight="251659264" behindDoc="1" locked="0" layoutInCell="1" allowOverlap="1">
              <wp:simplePos x="0" y="0"/>
              <wp:positionH relativeFrom="page">
                <wp:posOffset>-21590</wp:posOffset>
              </wp:positionH>
              <wp:positionV relativeFrom="paragraph">
                <wp:posOffset>-344805</wp:posOffset>
              </wp:positionV>
              <wp:extent cx="7524750" cy="106680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0668000"/>
                      </a:xfrm>
                      <a:prstGeom prst="rect">
                        <a:avLst/>
                      </a:prstGeom>
                      <a:noFill/>
                      <a:ln w="9525">
                        <a:noFill/>
                        <a:miter lim="800000"/>
                        <a:headEnd/>
                        <a:tailEnd/>
                      </a:ln>
                    </wps:spPr>
                    <wps:txbx>
                      <w:txbxContent>
                        <w:p w:rsidR="00023BE9" w:rsidRDefault="00023BE9">
                          <w:r>
                            <w:rPr>
                              <w:noProof/>
                              <w:lang w:eastAsia="de-DE"/>
                            </w:rPr>
                            <w:drawing>
                              <wp:inline distT="0" distB="0" distL="0" distR="0">
                                <wp:extent cx="7420895" cy="10496550"/>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Kopie.jpg"/>
                                        <pic:cNvPicPr/>
                                      </pic:nvPicPr>
                                      <pic:blipFill>
                                        <a:blip r:embed="rId1">
                                          <a:extLst>
                                            <a:ext uri="{28A0092B-C50C-407E-A947-70E740481C1C}">
                                              <a14:useLocalDpi xmlns:a14="http://schemas.microsoft.com/office/drawing/2010/main" val="0"/>
                                            </a:ext>
                                          </a:extLst>
                                        </a:blip>
                                        <a:stretch>
                                          <a:fillRect/>
                                        </a:stretch>
                                      </pic:blipFill>
                                      <pic:spPr>
                                        <a:xfrm>
                                          <a:off x="0" y="0"/>
                                          <a:ext cx="7422721" cy="104991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pt;margin-top:-27.15pt;width:592.5pt;height:840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" filled="f" stroked="f">
              <v:textbox>
                <w:txbxContent>
                  <w:p w:rsidR="00023BE9" w:rsidRDefault="00023BE9">
                    <w:r>
                      <w:rPr>
                        <w:noProof/>
                        <w:lang w:eastAsia="de-DE"/>
                      </w:rPr>
                      <w:drawing>
                        <wp:inline distT="0" distB="0" distL="0" distR="0">
                          <wp:extent cx="7420895" cy="10496550"/>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Kopie.jpg"/>
                                  <pic:cNvPicPr/>
                                </pic:nvPicPr>
                                <pic:blipFill>
                                  <a:blip r:embed="rId2">
                                    <a:extLst>
                                      <a:ext uri="{28A0092B-C50C-407E-A947-70E740481C1C}">
                                        <a14:useLocalDpi xmlns:a14="http://schemas.microsoft.com/office/drawing/2010/main" val="0"/>
                                      </a:ext>
                                    </a:extLst>
                                  </a:blip>
                                  <a:stretch>
                                    <a:fillRect/>
                                  </a:stretch>
                                </pic:blipFill>
                                <pic:spPr>
                                  <a:xfrm>
                                    <a:off x="0" y="0"/>
                                    <a:ext cx="7422721" cy="10499133"/>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5671"/>
    <w:multiLevelType w:val="hybridMultilevel"/>
    <w:tmpl w:val="B36A7304"/>
    <w:lvl w:ilvl="0" w:tplc="632616F2">
      <w:numFmt w:val="bullet"/>
      <w:lvlText w:val="-"/>
      <w:lvlJc w:val="left"/>
      <w:pPr>
        <w:ind w:left="1440" w:hanging="360"/>
      </w:pPr>
      <w:rPr>
        <w:rFonts w:ascii="Calibri" w:eastAsiaTheme="minorHAns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E9"/>
    <w:rsid w:val="00023BE9"/>
    <w:rsid w:val="001432FC"/>
    <w:rsid w:val="00517C76"/>
    <w:rsid w:val="0088093D"/>
    <w:rsid w:val="00BF52B4"/>
    <w:rsid w:val="00F40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9CD7A"/>
  <w15:chartTrackingRefBased/>
  <w15:docId w15:val="{1AC51612-8A22-456F-ACEB-32F644F1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023BE9"/>
  </w:style>
  <w:style w:type="paragraph" w:styleId="berschrift1">
    <w:name w:val="heading 1"/>
    <w:basedOn w:val="Standard"/>
    <w:next w:val="Standard"/>
    <w:link w:val="berschrift1Zchn"/>
    <w:uiPriority w:val="9"/>
    <w:qFormat/>
    <w:rsid w:val="00023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023B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B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BE9"/>
  </w:style>
  <w:style w:type="paragraph" w:styleId="Fuzeile">
    <w:name w:val="footer"/>
    <w:basedOn w:val="Standard"/>
    <w:link w:val="FuzeileZchn"/>
    <w:uiPriority w:val="99"/>
    <w:unhideWhenUsed/>
    <w:rsid w:val="00023B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BE9"/>
  </w:style>
  <w:style w:type="paragraph" w:styleId="Titel">
    <w:name w:val="Title"/>
    <w:basedOn w:val="Standard"/>
    <w:next w:val="Standard"/>
    <w:link w:val="TitelZchn"/>
    <w:uiPriority w:val="10"/>
    <w:qFormat/>
    <w:rsid w:val="00023B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3BE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23BE9"/>
    <w:rPr>
      <w:rFonts w:asciiTheme="majorHAnsi" w:eastAsiaTheme="majorEastAsia" w:hAnsiTheme="majorHAnsi" w:cstheme="majorBidi"/>
      <w:color w:val="2E74B5" w:themeColor="accent1" w:themeShade="BF"/>
      <w:sz w:val="32"/>
      <w:szCs w:val="32"/>
    </w:rPr>
  </w:style>
  <w:style w:type="paragraph" w:styleId="KeinLeerraum">
    <w:name w:val="No Spacing"/>
    <w:uiPriority w:val="1"/>
    <w:qFormat/>
    <w:rsid w:val="00023BE9"/>
    <w:pPr>
      <w:spacing w:after="0" w:line="240" w:lineRule="auto"/>
    </w:pPr>
  </w:style>
  <w:style w:type="character" w:customStyle="1" w:styleId="berschrift3Zchn">
    <w:name w:val="Überschrift 3 Zchn"/>
    <w:basedOn w:val="Absatz-Standardschriftart"/>
    <w:link w:val="berschrift3"/>
    <w:uiPriority w:val="9"/>
    <w:rsid w:val="00023BE9"/>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023BE9"/>
    <w:pPr>
      <w:ind w:left="720"/>
      <w:contextualSpacing/>
    </w:pPr>
  </w:style>
  <w:style w:type="paragraph" w:styleId="Sprechblasentext">
    <w:name w:val="Balloon Text"/>
    <w:basedOn w:val="Standard"/>
    <w:link w:val="SprechblasentextZchn"/>
    <w:uiPriority w:val="99"/>
    <w:semiHidden/>
    <w:unhideWhenUsed/>
    <w:rsid w:val="001432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32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1918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4</cp:revision>
  <cp:lastPrinted>2017-04-28T06:04:00Z</cp:lastPrinted>
  <dcterms:created xsi:type="dcterms:W3CDTF">2017-04-27T11:47:00Z</dcterms:created>
  <dcterms:modified xsi:type="dcterms:W3CDTF">2017-05-02T06:56:00Z</dcterms:modified>
</cp:coreProperties>
</file>